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hd w:val="clear" w:color="auto" w:fill="ffffff"/>
        <w:spacing w:before="100" w:after="10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kern w:val="36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kern w:val="36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CERTIFICATI STORICI CON RICERCA D</w:t>
      </w:r>
      <w:r>
        <w:rPr>
          <w:rFonts w:ascii="Times New Roman" w:hAnsi="Times New Roman" w:hint="default"/>
          <w:b w:val="1"/>
          <w:bCs w:val="1"/>
          <w:outline w:val="0"/>
          <w:color w:val="222222"/>
          <w:kern w:val="36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22222"/>
          <w:kern w:val="36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ARCHIVIO</w:t>
      </w:r>
    </w:p>
    <w:p>
      <w:pPr>
        <w:pStyle w:val="Normale"/>
        <w:shd w:val="clear" w:color="auto" w:fill="ffffff"/>
        <w:spacing w:before="120" w:after="6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Descrizione</w:t>
      </w:r>
    </w:p>
    <w:p>
      <w:pPr>
        <w:pStyle w:val="Normale"/>
        <w:shd w:val="clear" w:color="auto" w:fill="ffffff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 certificati anagrafici sono attestazioni che riguardano i dati contenuti nei registri della popolazione residente nel Comune e nei registri dell'Anagrafe degli Italiani Residenti all'Estero (AIRE).</w:t>
      </w:r>
    </w:p>
    <w:p>
      <w:pPr>
        <w:pStyle w:val="Normale"/>
        <w:shd w:val="clear" w:color="auto" w:fill="ffffff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Il richiedente deve presentare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richiesta di certificato storico di residenza o di stato di famiglia, indicando la data di riferimento alla quale il certificato si deve riferire e il motivo per cui viene richiesto.</w:t>
      </w:r>
    </w:p>
    <w:p>
      <w:pPr>
        <w:pStyle w:val="Normale"/>
        <w:shd w:val="clear" w:color="auto" w:fill="ffffff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Se il certificato richiede ricerche di archivio (periodi anteriori al 01/06/2016) il rilascio non potr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essere immediato e nella richiesta andr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indicato anche un recapito per le eventuali comunicazioni.</w:t>
      </w:r>
    </w:p>
    <w:p>
      <w:pPr>
        <w:pStyle w:val="Normale"/>
        <w:shd w:val="clear" w:color="auto" w:fill="ffffff"/>
        <w:spacing w:before="120" w:after="6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Documenti necessari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Richiesta con indicazione del tipo di certificato, il periodo di riferimento e l'uso per il quale viene richiesto;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Copia del documento di riconoscimento del richiedente;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Eventuale busta affrancata per la risposta con l'indicazione dell'indirizzo a cui inviare la risposta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Eventuale marca da bollo da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16,00;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Versamento dei diritti di segreteria.</w:t>
      </w:r>
    </w:p>
    <w:p>
      <w:pPr>
        <w:pStyle w:val="Normale"/>
        <w:shd w:val="clear" w:color="auto" w:fill="ffffff"/>
        <w:spacing w:before="120" w:after="6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Termine del procedimento o della procedura a rilevanza esterna</w:t>
      </w:r>
    </w:p>
    <w:p>
      <w:pPr>
        <w:pStyle w:val="Normale"/>
        <w:shd w:val="clear" w:color="auto" w:fill="ffffff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 certificati anagrafici storici che richiedono ricerche di archivio (certificazioni riguardanti periodi anteriori al 01/06/2016) sono rilasciati entro 60 giorni dalla richiesta.</w:t>
      </w:r>
    </w:p>
    <w:p>
      <w:pPr>
        <w:pStyle w:val="Normale"/>
        <w:shd w:val="clear" w:color="auto" w:fill="ffffff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 certificati storici riferiti a periodi successivi al 01/06/2016 e che non richiedono una ricerca d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archivio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vengono rilasciati nell'immediato.</w:t>
      </w:r>
    </w:p>
    <w:p>
      <w:pPr>
        <w:pStyle w:val="Normale"/>
        <w:shd w:val="clear" w:color="auto" w:fill="ffffff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 certificati anagrafici sono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TUTTI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soggetti all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'imposta di bollo pari a 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€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16,00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ai sensi del DPR 642/72, a meno che non siano previste specifiche esenzioni per il particolare uso al quale tali documenti sono destinati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 questi casi, la norma di esenzione deve essere espressamente indicata sui certificati.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Chi ritiene di avere diritto ad una esenzione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ha l'obbligo di dichiarare la norma che la prevede, non potendo l'operatore suggerire eventuali cause di esenzione.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Si sottolinea che non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rimessa in alcun modo alla discrezionalit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dei vari Uffici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 cui le richieste vengono presentate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o dei funzionari che li emettono decidere in merito all'assolvimento o meno dell'imposta, cos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come non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nella facolt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del richiedente decidere se l'atto va in bollo oppure in carta libera.</w:t>
      </w:r>
    </w:p>
    <w:p>
      <w:pPr>
        <w:pStyle w:val="Normale"/>
        <w:shd w:val="clear" w:color="auto" w:fill="ffffff"/>
        <w:spacing w:before="120" w:after="6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Costi a carico dell'utente</w:t>
      </w:r>
    </w:p>
    <w:p>
      <w:pPr>
        <w:pStyle w:val="Normale"/>
        <w:shd w:val="clear" w:color="auto" w:fill="ffffff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Per i certificati anagrafici storici redatti in seguito a ricerca di archivio, oltre all'eventuale pagamento dell'imposta di bollo,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previsto il pagamento di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5,16 per diritti di ricerca per ogni nominativo o variazione di residenza. Una volta effettuata la ricerca, si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comunque tenuti al pagamento dei relativi diritti di ricerca anche in caso di sopravvenuto disinteresse.</w:t>
      </w:r>
    </w:p>
    <w:p>
      <w:pPr>
        <w:pStyle w:val="Normale"/>
        <w:shd w:val="clear" w:color="auto" w:fill="ffffff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before="120" w:after="6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Normativa di riferimento</w:t>
      </w:r>
    </w:p>
    <w:p>
      <w:pPr>
        <w:pStyle w:val="Normale"/>
        <w:shd w:val="clear" w:color="auto" w:fill="ffffff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Legge 24 dicembre 1954 n. 1228 "Ordinamento delle anagrafi della popolazione residente"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D.P.R. n. 223 del 30/08/1989 "Nuovo regolamento anagrafico della popolazione residente".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D.P.R. n. 642 del 26/10/1972, "Disciplina dell'imposta di bollo".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D.P.R. n. 445 del 28/12/2000 "testo unico in materia di documentazione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l. n. 183/2011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 evitare assembramenti vietati dalle normative in vigore di contrasto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emergenza epidemiologica da Covid-19, tutti i servizi devono essere prenotati telefonicamente al numero di telefono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081 3235429</w:t>
      </w:r>
    </w:p>
    <w:p>
      <w:pPr>
        <w:pStyle w:val="Normale"/>
        <w:shd w:val="clear" w:color="auto" w:fill="ffffff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MODULISTICA: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modello 7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1  Richiesta certificato storico di residenza 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modello 7 -  2  Richiesta certificato storico di famiglia</w:t>
      </w:r>
    </w:p>
    <w:p>
      <w:pPr>
        <w:pStyle w:val="Normale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it-IT"/>
        </w:rPr>
        <w:t>modello 7 -  3  Richiesta certificazione anagrafica storica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