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before="100" w:after="100"/>
        <w:jc w:val="center"/>
        <w:outlineLvl w:val="0"/>
        <w:rPr>
          <w:b w:val="1"/>
          <w:bCs w:val="1"/>
          <w:outline w:val="0"/>
          <w:color w:val="000000"/>
          <w:kern w:val="36"/>
          <w:sz w:val="48"/>
          <w:szCs w:val="4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kern w:val="36"/>
          <w:sz w:val="48"/>
          <w:szCs w:val="4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Autenticazione di copie di documenti</w:t>
      </w:r>
    </w:p>
    <w:p>
      <w:pPr>
        <w:pStyle w:val="Normale"/>
        <w:spacing w:before="100" w:after="100"/>
        <w:outlineLvl w:val="1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Ultimo Aggiornamento: 31.12.2020</w:t>
      </w:r>
    </w:p>
    <w:p>
      <w:pPr>
        <w:pStyle w:val="Normale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autenticazione di una copia di un documento consiste nell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attestare la sua conformit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originale, di cui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il pubblico ufficiale deve prendere visione.</w:t>
      </w:r>
    </w:p>
    <w:p>
      <w:pPr>
        <w:pStyle w:val="Normale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La copia pu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essere autenticata: </w:t>
      </w:r>
    </w:p>
    <w:p>
      <w:pPr>
        <w:pStyle w:val="Normale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Symbol" w:hAnsi="Symbo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·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dal pubblico ufficiale dal quale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stato emesso l'originale; </w:t>
      </w:r>
    </w:p>
    <w:p>
      <w:pPr>
        <w:pStyle w:val="Normale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Symbol" w:hAnsi="Symbo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·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dal pubblico ufficiale dell'ufficio presso cui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depositato l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originale; </w:t>
      </w:r>
    </w:p>
    <w:p>
      <w:pPr>
        <w:pStyle w:val="Normale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Symbol" w:hAnsi="Symbo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·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dal pubblico ufficiale al quale deve essere prodotto il documento; </w:t>
      </w:r>
    </w:p>
    <w:p>
      <w:pPr>
        <w:pStyle w:val="Normale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Symbol" w:hAnsi="Symbo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·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dal notaio, dal cancelliere, dal segretario comunale o dall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Ufficiale d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Anagrafe.</w:t>
      </w:r>
    </w:p>
    <w:p>
      <w:pPr>
        <w:pStyle w:val="Normale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b w:val="1"/>
          <w:bCs w:val="1"/>
          <w:rtl w:val="0"/>
          <w:lang w:val="it-IT"/>
        </w:rPr>
        <w:t>Documentazione</w:t>
      </w:r>
      <w:r>
        <w:br w:type="textWrapping"/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 cittadino che si rivolge all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Anagrafe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per l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autenticazione di copie di documenti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deve sempre esibire l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originale del documento completo in tutte le sue parti, anche se redatto in lingua straniera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(in tal caso corredato anche della traduzione giurata dello stesso)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con</w:t>
      </w: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le fotocopie da autenticare. 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Se le copie autentiche richieste sono pi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10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verranno rilasciate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una data differita da quella della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richiesta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come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stabilita dall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ufficio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concordemente con l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utente richiedente.</w:t>
      </w:r>
    </w:p>
    <w:p>
      <w:pPr>
        <w:pStyle w:val="Normale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Per i cittadini stranieri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necessaria l'esibizione del permesso di soggiorno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unitamente ad un documento di identit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corso di validit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 Se il permesso di soggiorno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scaduto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necessario presentarlo insieme alla ricevuta di rinnovo. Senza questi documenti non si pu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ottenere quanto richiesto (legge 15/7/2009 n. 94).</w:t>
      </w:r>
    </w:p>
    <w:p>
      <w:pPr>
        <w:pStyle w:val="Normale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b w:val="1"/>
          <w:bCs w:val="1"/>
          <w:rtl w:val="0"/>
          <w:lang w:val="it-IT"/>
        </w:rPr>
        <w:t>Autocertificazione</w:t>
      </w:r>
      <w:r>
        <w:br w:type="textWrapping"/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 cittadino pu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b w:val="1"/>
          <w:bCs w:val="1"/>
          <w:u w:val="single"/>
          <w:rtl w:val="0"/>
          <w:lang w:val="it-IT"/>
        </w:rPr>
        <w:t>sostituire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l'autentica di copia con una sua dichiarazione di conformit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all'originale che non deve essere autenticata.</w:t>
      </w:r>
    </w:p>
    <w:p>
      <w:pPr>
        <w:pStyle w:val="Normale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Per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certificare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la conformit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del documento all'originale occorre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indicare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sul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retro della copia i propri dati anagrafici, dichiarare che la copia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conforme all'originale e firmare,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allegando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la copia del documento una copia della propria carta d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identit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e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</w:pPr>
      <w:r>
        <w:rPr>
          <w:b w:val="1"/>
          <w:bCs w:val="1"/>
          <w:rtl w:val="0"/>
          <w:lang w:val="it-IT"/>
        </w:rPr>
        <w:t>Costo</w:t>
      </w:r>
      <w:r>
        <w:br w:type="textWrapping"/>
      </w:r>
      <w:r>
        <w:rPr>
          <w:rtl w:val="0"/>
          <w:lang w:val="it-IT"/>
        </w:rPr>
        <w:t>L'autentica di copia, ai sensi dell'art. 1 e 2 tab. A del DPR 642/72 viene rilasciata in bollo, nella misura di 1 marca da bollo ogni 4 pagine. Le esenzioni dal bollo sono applicabili solo nei casi previsti dalla legge.</w:t>
      </w:r>
    </w:p>
    <w:p>
      <w:pPr>
        <w:pStyle w:val="Normale"/>
        <w:jc w:val="both"/>
        <w:rPr>
          <w:b w:val="1"/>
          <w:bCs w:val="1"/>
        </w:rPr>
      </w:pPr>
    </w:p>
    <w:p>
      <w:pPr>
        <w:pStyle w:val="Normale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Informazioni utili </w:t>
      </w:r>
    </w:p>
    <w:p>
      <w:pPr>
        <w:pStyle w:val="Normale"/>
        <w:shd w:val="clear" w:color="auto" w:fill="ffffff"/>
        <w:jc w:val="both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E' esclusa la autenticazione della copia di un'altra copia, anche se a sua volta gi</w:t>
      </w:r>
      <w:r>
        <w:rPr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autenticata. L'autenticazione pu</w:t>
      </w:r>
      <w:r>
        <w:rPr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ò </w:t>
      </w:r>
      <w:r>
        <w:rPr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essere richiesta anche da persona diversa dall'interessato e in Comune diverso da quello di residenza.</w:t>
      </w:r>
    </w:p>
    <w:p>
      <w:pPr>
        <w:pStyle w:val="Normale"/>
        <w:shd w:val="clear" w:color="auto" w:fill="ffffff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La fotocopia autenticata non ha scadenza.</w:t>
      </w:r>
    </w:p>
    <w:p>
      <w:pPr>
        <w:pStyle w:val="Normale"/>
        <w:shd w:val="clear" w:color="auto" w:fill="ffffff"/>
        <w:jc w:val="both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e"/>
        <w:jc w:val="both"/>
      </w:pPr>
      <w:r>
        <w:rPr>
          <w:b w:val="1"/>
          <w:bCs w:val="1"/>
          <w:rtl w:val="0"/>
          <w:lang w:val="it-IT"/>
        </w:rPr>
        <w:t>Normativa</w:t>
      </w:r>
      <w: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"http://www.parlamento.it/parlam/leggi/deleghe/00443dla.htm"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Decreto del Presidente della Repubblica 28/12/2000 n. 445 - Testo Unico delle disposizioni legislative e regolamentari in materia di documentazione ammini</w:t>
      </w:r>
      <w:r>
        <w:rPr/>
        <w:fldChar w:fldCharType="end" w:fldLock="0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"http://www.parlamento.it/parlam/leggi/deleghe/00443dla.htm"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strativa.</w:t>
      </w:r>
      <w:r>
        <w:rPr/>
        <w:fldChar w:fldCharType="end" w:fldLock="0"/>
      </w:r>
    </w:p>
    <w:p>
      <w:pPr>
        <w:pStyle w:val="Normale"/>
        <w:jc w:val="both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"http://portal.comune.re.it/pls/portal/ptk_atti_consultazione.dettagliatto?id=1875792&amp;numero_registro=25&amp;anno_registro=2012"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Delibera della Giunta Comunale Approvazione delle Tariffe dei Servizi Comunali per l'Esercizio 2012 e del Relativo Prontuario</w:t>
      </w:r>
      <w:r>
        <w:rPr/>
        <w:fldChar w:fldCharType="end" w:fldLock="0"/>
      </w:r>
      <w:r>
        <w:rPr>
          <w:rStyle w:val="Nessuno"/>
          <w:rtl w:val="0"/>
          <w:lang w:val="it-IT"/>
        </w:rPr>
        <w:t xml:space="preserve"> </w:t>
      </w:r>
    </w:p>
    <w:p>
      <w:pPr>
        <w:pStyle w:val="Normale"/>
        <w:jc w:val="both"/>
      </w:pPr>
    </w:p>
    <w:p>
      <w:pPr>
        <w:pStyle w:val="Normale"/>
        <w:jc w:val="both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A chi</w:t>
      </w:r>
      <w:r>
        <w:rPr>
          <w:rStyle w:val="Nessuno"/>
          <w:b w:val="1"/>
          <w:bCs w:val="1"/>
          <w:rtl w:val="0"/>
          <w:lang w:val="it-IT"/>
        </w:rPr>
        <w:t xml:space="preserve"> rivolgersi</w:t>
      </w:r>
    </w:p>
    <w:p>
      <w:pPr>
        <w:pStyle w:val="Normale"/>
        <w:jc w:val="both"/>
        <w:rPr>
          <w:rStyle w:val="Nessuno"/>
          <w:b w:val="1"/>
          <w:bCs w:val="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"http://www.comune.re.it/retecivica/urp/retecivi.nsf/PESDocumentID/8651AACEEE709C37C1257A0600386E2E?opendocument&amp;FROM=Mrt1&amp;ES=-1"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 xml:space="preserve">Servizi Demografici- Ufficio Anagrafe </w:t>
      </w:r>
      <w:r>
        <w:rPr/>
        <w:fldChar w:fldCharType="end" w:fldLock="0"/>
      </w:r>
    </w:p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53"/>
        <w:gridCol w:w="8385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Indirizzo</w:t>
            </w:r>
          </w:p>
        </w:tc>
        <w:tc>
          <w:tcPr>
            <w:tcW w:type="dxa" w:w="83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Via Raffaele Libroia n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1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84014 Nocera Inferiore - SA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12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 xml:space="preserve">Orario </w:t>
            </w:r>
          </w:p>
        </w:tc>
        <w:tc>
          <w:tcPr>
            <w:tcW w:type="dxa" w:w="83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Mattino: luned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- mercoled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e venerd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- dalle 9,00 alle 12.00; </w:t>
            </w:r>
            <w:r>
              <w:rPr>
                <w:rStyle w:val="Nessuno"/>
                <w:shd w:val="nil" w:color="auto" w:fill="auto"/>
                <w:lang w:val="it-IT"/>
              </w:rPr>
              <w:br w:type="textWrapping"/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Pomeriggio: marted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e gioved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dalle 16.00 alle 17.30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Tel</w:t>
            </w:r>
          </w:p>
        </w:tc>
        <w:tc>
          <w:tcPr>
            <w:tcW w:type="dxa" w:w="83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081 3235 429  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E-mail</w:t>
            </w:r>
          </w:p>
        </w:tc>
        <w:tc>
          <w:tcPr>
            <w:tcW w:type="dxa" w:w="83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Style w:val="Hyperlink.2"/>
                <w:outline w:val="0"/>
                <w:color w:val="0000ff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outline w:val="0"/>
                <w:color w:val="0000ff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"mailto:anagrafe@comune.nocera-inferiore.sa.it"</w:instrText>
            </w:r>
            <w:r>
              <w:rPr>
                <w:rStyle w:val="Hyperlink.2"/>
                <w:outline w:val="0"/>
                <w:color w:val="0000ff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outline w:val="0"/>
                <w:color w:val="0000ff"/>
                <w:u w:val="single"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anagrafe@comune.nocera-inferiore.sa.it</w:t>
            </w:r>
            <w:r>
              <w:rPr/>
              <w:fldChar w:fldCharType="end" w:fldLock="0"/>
            </w:r>
          </w:p>
        </w:tc>
      </w:tr>
    </w:tbl>
    <w:p>
      <w:pPr>
        <w:pStyle w:val="Normale"/>
        <w:widowControl w:val="0"/>
        <w:jc w:val="both"/>
        <w:rPr>
          <w:rStyle w:val="Nessuno"/>
          <w:b w:val="1"/>
          <w:bCs w:val="1"/>
        </w:rPr>
      </w:pPr>
    </w:p>
    <w:p>
      <w:pPr>
        <w:pStyle w:val="Normale"/>
        <w:jc w:val="both"/>
      </w:pPr>
      <w:r>
        <w:rPr>
          <w:rStyle w:val="Nessuno"/>
          <w:b w:val="1"/>
          <w:bCs w:val="1"/>
          <w:rtl w:val="0"/>
          <w:lang w:val="it-IT"/>
        </w:rPr>
        <w:t xml:space="preserve">PEC : </w:t>
      </w:r>
      <w:r>
        <w:rPr>
          <w:rStyle w:val="Nessuno"/>
          <w:rtl w:val="0"/>
          <w:lang w:val="it-IT"/>
        </w:rPr>
        <w:t xml:space="preserve">         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"mailto:anagrafe@pec.comune.nocera-inferiore.sa.it"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>anagrafe@pec.comune.nocera-inferiore.sa.it</w:t>
      </w:r>
      <w:r>
        <w:rPr/>
        <w:fldChar w:fldCharType="end" w:fldLock="0"/>
      </w:r>
    </w:p>
    <w:p>
      <w:pPr>
        <w:pStyle w:val="Normale"/>
        <w:jc w:val="both"/>
      </w:pPr>
      <w:r>
        <w:rPr>
          <w:rStyle w:val="Nessuno"/>
          <w:rtl w:val="0"/>
        </w:rPr>
        <w:tab/>
        <w:t xml:space="preserve">        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"mailto:protocollo@pec.comune.nocera-inferiore.sa.it"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>protocollo@pec.comune.nocera-inferiore.sa.it</w:t>
      </w:r>
      <w:r>
        <w:rPr/>
        <w:fldChar w:fldCharType="end" w:fldLock="0"/>
      </w:r>
    </w:p>
    <w:p>
      <w:pPr>
        <w:pStyle w:val="Normale"/>
        <w:jc w:val="both"/>
      </w:pPr>
      <w:r>
        <w:rPr>
          <w:rStyle w:val="Nessuno"/>
          <w:rtl w:val="0"/>
        </w:rPr>
        <w:tab/>
        <w:t xml:space="preserve"> </w:t>
      </w:r>
    </w:p>
    <w:p>
      <w:pPr>
        <w:pStyle w:val="Normale"/>
        <w:jc w:val="both"/>
      </w:pPr>
      <w:r>
        <w:rPr>
          <w:rtl w:val="0"/>
          <w:lang w:val="it-IT"/>
        </w:rPr>
        <w:t>Per evitare assembramenti vietati dalle norm</w:t>
      </w:r>
      <w:r>
        <w:rPr>
          <w:rtl w:val="0"/>
          <w:lang w:val="it-IT"/>
        </w:rPr>
        <w:t>ative in vigore di contrasto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emergenza epidemiologica da Covid-19, </w:t>
      </w:r>
      <w:r>
        <w:rPr>
          <w:rtl w:val="0"/>
          <w:lang w:val="it-IT"/>
        </w:rPr>
        <w:t>tutti i servizi devono essere prenotati telefonicamente al numero di telefono</w:t>
      </w:r>
      <w:r>
        <w:rPr>
          <w:rtl w:val="0"/>
          <w:lang w:val="it-IT"/>
        </w:rPr>
        <w:t xml:space="preserve"> </w:t>
      </w:r>
      <w:r>
        <w:rPr>
          <w:rStyle w:val="Nessuno"/>
          <w:b w:val="1"/>
          <w:bCs w:val="1"/>
          <w:rtl w:val="0"/>
          <w:lang w:val="it-IT"/>
        </w:rPr>
        <w:t>081 3235429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u w:val="single"/>
    </w:rPr>
  </w:style>
  <w:style w:type="character" w:styleId="Hyperlink.1">
    <w:name w:val="Hyperlink.1"/>
    <w:basedOn w:val="Nessuno"/>
    <w:next w:val="Hyperlink.1"/>
    <w:rPr>
      <w:rFonts w:ascii="Times New Roman" w:cs="Times New Roman" w:hAnsi="Times New Roman" w:eastAsia="Times New Roman"/>
      <w:b w:val="1"/>
      <w:bCs w:val="1"/>
      <w:u w:val="single"/>
    </w:rPr>
  </w:style>
  <w:style w:type="character" w:styleId="Hyperlink.2">
    <w:name w:val="Hyperlink.2"/>
    <w:basedOn w:val="Nessuno"/>
    <w:next w:val="Hyperlink.2"/>
    <w:rPr>
      <w:rFonts w:ascii="Times New Roman" w:cs="Times New Roman" w:hAnsi="Times New Roman" w:eastAsia="Times New Roman"/>
      <w:outline w:val="0"/>
      <w:color w:val="0000ff"/>
      <w:u w:val="single" w:color="0000ff"/>
      <w:shd w:val="nil" w:color="auto" w:fill="auto"/>
      <w:lang w:val="it-IT"/>
      <w14:textFill>
        <w14:solidFill>
          <w14:srgbClr w14:val="0000FF"/>
        </w14:solidFill>
      </w14:textFill>
    </w:rPr>
  </w:style>
  <w:style w:type="character" w:styleId="Hyperlink.3">
    <w:name w:val="Hyperlink.3"/>
    <w:basedOn w:val="Nessuno"/>
    <w:next w:val="Hyperlink.3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