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A2" w:rsidRDefault="00F274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u w:color="222222"/>
        </w:rPr>
      </w:pPr>
      <w:r>
        <w:rPr>
          <w:rFonts w:ascii="Times New Roman" w:hAnsi="Times New Roman"/>
          <w:b/>
          <w:bCs/>
          <w:color w:val="222222"/>
          <w:kern w:val="36"/>
          <w:sz w:val="32"/>
          <w:szCs w:val="32"/>
          <w:u w:color="222222"/>
        </w:rPr>
        <w:t xml:space="preserve">DICHIARAZIONE </w:t>
      </w:r>
      <w:proofErr w:type="spellStart"/>
      <w:r>
        <w:rPr>
          <w:rFonts w:ascii="Times New Roman" w:hAnsi="Times New Roman"/>
          <w:b/>
          <w:bCs/>
          <w:color w:val="222222"/>
          <w:kern w:val="36"/>
          <w:sz w:val="32"/>
          <w:szCs w:val="32"/>
          <w:u w:color="222222"/>
        </w:rPr>
        <w:t>DI</w:t>
      </w:r>
      <w:proofErr w:type="spellEnd"/>
      <w:r>
        <w:rPr>
          <w:rFonts w:ascii="Times New Roman" w:hAnsi="Times New Roman"/>
          <w:b/>
          <w:bCs/>
          <w:color w:val="222222"/>
          <w:kern w:val="36"/>
          <w:sz w:val="32"/>
          <w:szCs w:val="32"/>
          <w:u w:color="222222"/>
        </w:rPr>
        <w:t xml:space="preserve"> DIMORA ABITUALE PER CITTADINI EXTRACOMUNITARI</w:t>
      </w:r>
    </w:p>
    <w:p w:rsidR="008255A2" w:rsidRDefault="008255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</w:p>
    <w:p w:rsidR="008255A2" w:rsidRDefault="00F274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Descrizione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 cittadini extracomunitari iscritti nell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anagrafe della popolazione residente hanno 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obbligo di rinnovare la dichiarazione di dimora abituale nel comune entro 60 giorni dal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rinnovo del permesso/carta di soggiorno.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Il cittadino deve presentarsi personalmente all'Ufficio Anagrafe - Via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Libroia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n. 1, munito del permesso di soggiorno rinnovato.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L'ufficiale d'anagrafe riceve la dichiarazione con i dati relativi al nuovo permesso 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carta di soggiorno, del quale viene fatta copia digitale.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Il cittadino firma la dichiarazione, cos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ì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come prevede la normativa.</w:t>
      </w:r>
    </w:p>
    <w:p w:rsidR="008255A2" w:rsidRDefault="00F274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Documenti necessari</w:t>
      </w:r>
    </w:p>
    <w:p w:rsidR="008255A2" w:rsidRDefault="00F274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permesso/carta di soggiorno in originale di tutti i componenti il nucleo familiare.</w:t>
      </w:r>
    </w:p>
    <w:p w:rsidR="008255A2" w:rsidRDefault="00F274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Requisiti</w:t>
      </w:r>
    </w:p>
    <w:p w:rsidR="008255A2" w:rsidRDefault="00F274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Essere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cittadino extracomunitario regolarmente soggiornante;</w:t>
      </w:r>
    </w:p>
    <w:p w:rsidR="008255A2" w:rsidRDefault="00F274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Dimorare abitualmente;</w:t>
      </w:r>
    </w:p>
    <w:p w:rsidR="008255A2" w:rsidRDefault="00F274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Essere in possesso del permesso/carta di soggiorno valido o rinnovato entro i 60 giorni dalla scadenza.</w:t>
      </w:r>
    </w:p>
    <w:p w:rsidR="008255A2" w:rsidRDefault="00F274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Termine di presentazione della domanda</w:t>
      </w:r>
    </w:p>
    <w:p w:rsidR="008255A2" w:rsidRDefault="00F2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Entro sei mesi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 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dalla scadenza del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permesso di soggiorno.</w:t>
      </w:r>
    </w:p>
    <w:p w:rsidR="008255A2" w:rsidRDefault="00F274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Normativa di riferimento</w:t>
      </w:r>
    </w:p>
    <w:p w:rsidR="008255A2" w:rsidRDefault="00F2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Art. 7, comma 3, D.P.R. 30 maggio 1989, n. 223 come sostituito dall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articolo 15, comma 2, D.P.R. 31 agosto 1999, n. 394.</w:t>
      </w:r>
    </w:p>
    <w:p w:rsidR="008255A2" w:rsidRDefault="00F274D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Informazioni utili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La dichiarazione di dimora abituale va resa anche a seguito di iscri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zione anagrafica nel Comune (cittadini provenienti da altro Comune o dall'Estero).</w:t>
      </w:r>
    </w:p>
    <w:p w:rsidR="008255A2" w:rsidRDefault="00F2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Ai sensi dell'art.11,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</w:rPr>
        <w:t>lett.c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</w:rPr>
        <w:t>) del DPR 30.05.1989, n.223, decorsi 180 giorni dalla scadenza del permesso di soggiorno del cittadino straniero residente, lo si invita ad esibi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re, entro 30 giorni, l'autorizzazione al soggiorno rinnovata, e rendere contemporaneamente la dichiarazione di dimora abituale.</w:t>
      </w:r>
    </w:p>
    <w:p w:rsidR="008255A2" w:rsidRDefault="00F27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In caso di inottemperanza, si provvede alla cancellazione anagrafica.</w:t>
      </w:r>
    </w:p>
    <w:p w:rsidR="008255A2" w:rsidRDefault="00825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8255A2" w:rsidRDefault="00F2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A chi</w:t>
      </w:r>
      <w:r>
        <w:rPr>
          <w:rFonts w:ascii="Times New Roman" w:hAnsi="Times New Roman"/>
          <w:b/>
          <w:bCs/>
          <w:sz w:val="24"/>
          <w:szCs w:val="24"/>
        </w:rPr>
        <w:t xml:space="preserve"> rivolgersi</w:t>
      </w:r>
    </w:p>
    <w:p w:rsidR="008255A2" w:rsidRDefault="008255A2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F274DC">
          <w:rPr>
            <w:rStyle w:val="Hyperlink0"/>
            <w:rFonts w:eastAsia="Arial Unicode MS"/>
          </w:rPr>
          <w:t xml:space="preserve">Servizi Demografici- Ufficio Anagrafe </w:t>
        </w:r>
      </w:hyperlink>
    </w:p>
    <w:tbl>
      <w:tblPr>
        <w:tblStyle w:val="TableNormal"/>
        <w:tblW w:w="94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90"/>
        <w:gridCol w:w="8071"/>
      </w:tblGrid>
      <w:tr w:rsidR="008255A2" w:rsidTr="00F27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Via Raffaele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Libroia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°</w:t>
            </w:r>
            <w:proofErr w:type="spellEnd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84014 Nocera Inferiore - SA</w:t>
            </w:r>
          </w:p>
        </w:tc>
      </w:tr>
      <w:tr w:rsidR="008255A2" w:rsidTr="00F27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 xml:space="preserve">Orario 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Mattino: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luned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- mercoled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venerd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- dalle 9,00 alle 12.00; </w:t>
            </w:r>
            <w:r>
              <w:rPr>
                <w:rStyle w:val="Nessuno"/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Pomeriggio: marted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e gioved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ì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dalle 16.00 alle 17.30</w:t>
            </w:r>
          </w:p>
        </w:tc>
      </w:tr>
      <w:tr w:rsidR="008255A2" w:rsidTr="00F27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 w:rsidP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081 3235 429 </w:t>
            </w:r>
          </w:p>
        </w:tc>
      </w:tr>
      <w:tr w:rsidR="008255A2" w:rsidTr="00F27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8255A2"/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8255A2" w:rsidP="00F274DC">
            <w:pPr>
              <w:ind w:left="-1128" w:hanging="18"/>
            </w:pPr>
          </w:p>
        </w:tc>
      </w:tr>
      <w:tr w:rsidR="008255A2" w:rsidTr="00F27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F274DC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A2" w:rsidRDefault="008255A2">
            <w:pPr>
              <w:spacing w:after="0" w:line="240" w:lineRule="auto"/>
              <w:jc w:val="both"/>
            </w:pPr>
            <w:hyperlink r:id="rId8" w:history="1">
              <w:r w:rsidR="00F274DC">
                <w:rPr>
                  <w:rStyle w:val="Hyperlink1"/>
                  <w:rFonts w:ascii="Times New Roman" w:hAnsi="Times New Roman"/>
                  <w:sz w:val="24"/>
                  <w:szCs w:val="24"/>
                </w:rPr>
                <w:t>anagrafe@comune.nocera-inferiore.sa.it</w:t>
              </w:r>
            </w:hyperlink>
          </w:p>
        </w:tc>
      </w:tr>
    </w:tbl>
    <w:p w:rsidR="008255A2" w:rsidRDefault="008255A2">
      <w:pPr>
        <w:widowControl w:val="0"/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5A2" w:rsidRDefault="00F274DC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PEC :</w:t>
      </w:r>
      <w:r>
        <w:rPr>
          <w:rStyle w:val="Nessuno"/>
          <w:rFonts w:ascii="Times New Roman" w:hAnsi="Times New Roman"/>
          <w:sz w:val="24"/>
          <w:szCs w:val="24"/>
        </w:rPr>
        <w:t xml:space="preserve">     </w:t>
      </w:r>
      <w:hyperlink r:id="rId9" w:history="1">
        <w:r>
          <w:rPr>
            <w:rStyle w:val="Hyperlink2"/>
            <w:rFonts w:eastAsia="Arial Unicode MS"/>
          </w:rPr>
          <w:t>anagrafe@pec.comune.nocera-inferiore.sa.it</w:t>
        </w:r>
      </w:hyperlink>
    </w:p>
    <w:p w:rsidR="008255A2" w:rsidRDefault="00F274DC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hyperlink r:id="rId10" w:history="1">
        <w:r>
          <w:rPr>
            <w:rStyle w:val="Hyperlink2"/>
            <w:rFonts w:eastAsia="Arial Unicode MS"/>
          </w:rPr>
          <w:t>protocollo@pec.comune.nocera-inferiore.sa.it</w:t>
        </w:r>
      </w:hyperlink>
    </w:p>
    <w:p w:rsidR="008255A2" w:rsidRDefault="00F274DC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255A2" w:rsidRDefault="00F274DC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lastRenderedPageBreak/>
        <w:t xml:space="preserve">Per evitare assembramenti 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>vietati dalle normative in vigore di contrasto all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>’</w:t>
      </w:r>
      <w:r>
        <w:rPr>
          <w:rStyle w:val="Nessuno"/>
          <w:rFonts w:ascii="Times New Roman" w:hAnsi="Times New Roman"/>
          <w:color w:val="222222"/>
          <w:sz w:val="24"/>
          <w:szCs w:val="24"/>
          <w:u w:color="222222"/>
        </w:rPr>
        <w:t xml:space="preserve">emergenza epidemiologica da Covid-19, tutti i servizi devono essere prenotati telefonicamente al numero di telefono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081 3235429</w:t>
      </w:r>
      <w:r>
        <w:rPr>
          <w:rStyle w:val="Nessuno"/>
          <w:rFonts w:ascii="Times New Roman" w:hAnsi="Times New Roman"/>
          <w:sz w:val="24"/>
          <w:szCs w:val="24"/>
        </w:rPr>
        <w:t>.</w:t>
      </w:r>
    </w:p>
    <w:p w:rsidR="008255A2" w:rsidRDefault="008255A2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8255A2" w:rsidRDefault="00F274DC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MODULISTICA:</w:t>
      </w:r>
    </w:p>
    <w:p w:rsidR="008255A2" w:rsidRDefault="008255A2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8255A2" w:rsidRDefault="00F274DC">
      <w:pPr>
        <w:spacing w:after="0" w:line="240" w:lineRule="auto"/>
      </w:pPr>
      <w:r>
        <w:rPr>
          <w:rStyle w:val="Nessuno"/>
          <w:rFonts w:ascii="Times New Roman" w:hAnsi="Times New Roman"/>
          <w:sz w:val="24"/>
          <w:szCs w:val="24"/>
        </w:rPr>
        <w:t xml:space="preserve">modello  14 </w:t>
      </w:r>
      <w:r>
        <w:rPr>
          <w:rStyle w:val="Nessuno"/>
          <w:rFonts w:ascii="Times New Roman" w:hAnsi="Times New Roman"/>
          <w:sz w:val="24"/>
          <w:szCs w:val="24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</w:rPr>
        <w:t xml:space="preserve">1  Modello di dichiarazione di dimora abituale </w:t>
      </w:r>
      <w:r>
        <w:rPr>
          <w:rStyle w:val="Nessuno"/>
          <w:rFonts w:ascii="Times New Roman" w:hAnsi="Times New Roman"/>
          <w:sz w:val="24"/>
          <w:szCs w:val="24"/>
        </w:rPr>
        <w:t>cittadino extracomunitaria</w:t>
      </w:r>
    </w:p>
    <w:sectPr w:rsidR="008255A2" w:rsidSect="008255A2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A2" w:rsidRDefault="008255A2" w:rsidP="008255A2">
      <w:pPr>
        <w:spacing w:after="0" w:line="240" w:lineRule="auto"/>
      </w:pPr>
      <w:r>
        <w:separator/>
      </w:r>
    </w:p>
  </w:endnote>
  <w:endnote w:type="continuationSeparator" w:id="0">
    <w:p w:rsidR="008255A2" w:rsidRDefault="008255A2" w:rsidP="0082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A2" w:rsidRDefault="008255A2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A2" w:rsidRDefault="008255A2" w:rsidP="008255A2">
      <w:pPr>
        <w:spacing w:after="0" w:line="240" w:lineRule="auto"/>
      </w:pPr>
      <w:r>
        <w:separator/>
      </w:r>
    </w:p>
  </w:footnote>
  <w:footnote w:type="continuationSeparator" w:id="0">
    <w:p w:rsidR="008255A2" w:rsidRDefault="008255A2" w:rsidP="0082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A2" w:rsidRDefault="008255A2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888"/>
    <w:multiLevelType w:val="hybridMultilevel"/>
    <w:tmpl w:val="8500D61A"/>
    <w:styleLink w:val="Stileimportato2"/>
    <w:lvl w:ilvl="0" w:tplc="52CE3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0701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8860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0D2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2635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6080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E9EF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2D4F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CAD6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8905C5"/>
    <w:multiLevelType w:val="hybridMultilevel"/>
    <w:tmpl w:val="1084DA28"/>
    <w:numStyleLink w:val="Stileimportato1"/>
  </w:abstractNum>
  <w:abstractNum w:abstractNumId="2">
    <w:nsid w:val="4ECF161A"/>
    <w:multiLevelType w:val="hybridMultilevel"/>
    <w:tmpl w:val="1084DA28"/>
    <w:styleLink w:val="Stileimportato1"/>
    <w:lvl w:ilvl="0" w:tplc="D61EC2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E841E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150C18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94892C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D8BAD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B8CE44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A20570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0C66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CB4772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7A352775"/>
    <w:multiLevelType w:val="hybridMultilevel"/>
    <w:tmpl w:val="8500D61A"/>
    <w:numStyleLink w:val="Stileimportato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5A2"/>
    <w:rsid w:val="008255A2"/>
    <w:rsid w:val="00F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55A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55A2"/>
    <w:rPr>
      <w:u w:val="single"/>
    </w:rPr>
  </w:style>
  <w:style w:type="table" w:customStyle="1" w:styleId="TableNormal">
    <w:name w:val="Table Normal"/>
    <w:rsid w:val="00825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255A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Stileimportato1">
    <w:name w:val="Stile importato 1"/>
    <w:rsid w:val="008255A2"/>
    <w:pPr>
      <w:numPr>
        <w:numId w:val="1"/>
      </w:numPr>
    </w:pPr>
  </w:style>
  <w:style w:type="numbering" w:customStyle="1" w:styleId="Stileimportato2">
    <w:name w:val="Stile importato 2"/>
    <w:rsid w:val="008255A2"/>
    <w:pPr>
      <w:numPr>
        <w:numId w:val="3"/>
      </w:numPr>
    </w:pPr>
  </w:style>
  <w:style w:type="character" w:customStyle="1" w:styleId="Nessuno">
    <w:name w:val="Nessuno"/>
    <w:rsid w:val="008255A2"/>
  </w:style>
  <w:style w:type="character" w:customStyle="1" w:styleId="Hyperlink0">
    <w:name w:val="Hyperlink.0"/>
    <w:basedOn w:val="Nessuno"/>
    <w:rsid w:val="008255A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yperlink1">
    <w:name w:val="Hyperlink.1"/>
    <w:basedOn w:val="Nessuno"/>
    <w:rsid w:val="008255A2"/>
    <w:rPr>
      <w:outline w:val="0"/>
      <w:color w:val="0000FF"/>
      <w:u w:val="single" w:color="0000FF"/>
      <w:shd w:val="nil"/>
      <w:lang w:val="it-IT"/>
    </w:rPr>
  </w:style>
  <w:style w:type="character" w:customStyle="1" w:styleId="Hyperlink2">
    <w:name w:val="Hyperlink.2"/>
    <w:basedOn w:val="Nessuno"/>
    <w:rsid w:val="008255A2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.nocera-inferiore.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e.it/retecivica/urp/retecivi.nsf/PESDocumentID/8651AACEEE709C37C1257A0600386E2E?opendocument&amp;FROM=Mrt1&amp;ES=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nocera-inferiore.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grafe@pec.comune.nocera-inferiore.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palmina.smaldone</cp:lastModifiedBy>
  <cp:revision>2</cp:revision>
  <dcterms:created xsi:type="dcterms:W3CDTF">2021-03-17T09:10:00Z</dcterms:created>
  <dcterms:modified xsi:type="dcterms:W3CDTF">2021-03-17T09:11:00Z</dcterms:modified>
</cp:coreProperties>
</file>