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position w:val="22"/>
          <w:sz w:val="24"/>
          <w:szCs w:val="24"/>
        </w:rPr>
        <w:t xml:space="preserve">Scheda di sintesi sulla rilevazione degli OIV </w:t>
      </w:r>
    </w:p>
    <w:p>
      <w:pPr>
        <w:pStyle w:val="ListParagraph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>Indicare la data di svolgimento della rilevazione: 20/07/2020.</w:t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ascii="Garamond" w:hAnsi="Garamond"/>
        </w:rPr>
        <w:t xml:space="preserve">Iniziata in data 20/07/2020 alle ore 16,00 e terminata in data </w:t>
      </w:r>
      <w:r>
        <w:rPr>
          <w:rFonts w:ascii="Garamond" w:hAnsi="Garamond"/>
        </w:rPr>
        <w:t>29/07/2020.</w:t>
      </w:r>
    </w:p>
    <w:p>
      <w:pPr>
        <w:pStyle w:val="ListParagraph"/>
        <w:spacing w:lineRule="auto" w:line="276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jc w:val="both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276"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>Non si applica al Comune di Nocera Inferiore.</w:t>
      </w:r>
    </w:p>
    <w:p>
      <w:pPr>
        <w:pStyle w:val="Normal"/>
        <w:spacing w:lineRule="auto" w:line="276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0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Default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rilevazione è stata effettuata di concerto con il Responsabile della prevenzione della corruzione e della trasparenza, dott.ssa Valeria Rubino, esaminando direttamente il sito istituzionale dell’Ente e le singole sezioni di Amministrazione Trasparente interessate dalla griglia.  </w:t>
      </w:r>
    </w:p>
    <w:p>
      <w:pPr>
        <w:pStyle w:val="Default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Viene altresì verificata l’attività svolta dal Responsabile della prevenzione della corruzione e della trasparenza per riscontrare l’adempimento degli obblighi di pubblicazione.</w:t>
      </w:r>
    </w:p>
    <w:p>
      <w:pPr>
        <w:pStyle w:val="Normal"/>
        <w:spacing w:lineRule="auto" w:line="36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jc w:val="both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Assenza di automatizzazione del flusso documentale verso “Amministrazione Trasparente”.</w:t>
      </w:r>
    </w:p>
    <w:p>
      <w:pPr>
        <w:pStyle w:val="Normal"/>
        <w:spacing w:lineRule="auto" w:line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Mancata pubblicazione della maggior parte dei dati in formato aperto o elaborabile, come dettato dalla norma.</w:t>
      </w:r>
    </w:p>
    <w:p>
      <w:pPr>
        <w:pStyle w:val="Normal"/>
        <w:spacing w:lineRule="auto" w:line="360"/>
        <w:rPr/>
      </w:pPr>
      <w:r>
        <w:rPr>
          <w:rFonts w:ascii="Garamond" w:hAnsi="Garamond"/>
          <w:bCs/>
        </w:rPr>
        <w:t xml:space="preserve">Tra le misure inattuate  la </w:t>
      </w:r>
      <w:r>
        <w:rPr>
          <w:rFonts w:ascii="Garamond" w:hAnsi="Garamond"/>
          <w:bCs/>
        </w:rPr>
        <w:t xml:space="preserve">parziale </w:t>
      </w:r>
      <w:r>
        <w:rPr>
          <w:rFonts w:ascii="Garamond" w:hAnsi="Garamond"/>
          <w:bCs/>
        </w:rPr>
        <w:t xml:space="preserve">pubblicazione dei dati relativi alle attività e procedimenti, </w:t>
      </w:r>
      <w:r>
        <w:rPr>
          <w:rFonts w:ascii="Garamond" w:hAnsi="Garamond"/>
          <w:bCs/>
        </w:rPr>
        <w:t xml:space="preserve">la mancata pubblicazione dei </w:t>
      </w:r>
      <w:r>
        <w:rPr>
          <w:rFonts w:ascii="Garamond" w:hAnsi="Garamond"/>
          <w:bCs/>
        </w:rPr>
        <w:t xml:space="preserve">criteri e modalità per la concessione di contributi e sovvenzioni, sussidi e  attribuzione di vantaggi economici, la mancata pubblicazione della carta dei servizi e degli standard di qualità, presenti solo per l’asilo nido. Le altre sezioni appaiono poco circostanziate. 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/>
        <w:rPr/>
      </w:pPr>
      <w:r>
        <w:rPr>
          <w:rFonts w:ascii="Garamond" w:hAnsi="Garamond"/>
          <w:bCs/>
          <w:iCs/>
        </w:rPr>
        <w:t>Nessuno</w:t>
      </w:r>
    </w:p>
    <w:p>
      <w:pPr>
        <w:pStyle w:val="Normal"/>
        <w:spacing w:lineRule="exact" w:line="320" w:before="120" w:after="0"/>
        <w:jc w:val="left"/>
        <w:rPr/>
      </w:pPr>
      <w:r>
        <w:rPr>
          <w:rFonts w:cs="Times New Roman" w:ascii="Garamond" w:hAnsi="Garamond"/>
        </w:rPr>
        <w:t>29/07/2020</w:t>
      </w:r>
    </w:p>
    <w:p>
      <w:pPr>
        <w:pStyle w:val="Normal"/>
        <w:spacing w:lineRule="exact" w:line="320" w:before="120" w:after="0"/>
        <w:jc w:val="right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</w:rPr>
        <w:t xml:space="preserve">Componente Unico OIV </w:t>
      </w:r>
    </w:p>
    <w:p>
      <w:pPr>
        <w:pStyle w:val="Normal"/>
        <w:spacing w:lineRule="exact" w:line="320" w:before="120" w:after="0"/>
        <w:jc w:val="right"/>
        <w:rPr/>
      </w:pPr>
      <w:r>
        <w:rPr>
          <w:rFonts w:cs="Times New Roman" w:ascii="Garamond" w:hAnsi="Garamond"/>
          <w:b/>
          <w:bCs/>
          <w:iCs/>
        </w:rPr>
        <w:t>F.to Domenico Gelormini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righ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center"/>
      <w:rPr>
        <w:rFonts w:ascii="Garamond" w:hAnsi="Garamond"/>
        <w:b/>
        <w:b/>
      </w:rPr>
    </w:pPr>
    <w:r>
      <w:rPr/>
      <w:drawing>
        <wp:inline distT="0" distB="0" distL="0" distR="0">
          <wp:extent cx="914400" cy="1183005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>
        <w:rFonts w:ascii="Garamond" w:hAnsi="Garamond"/>
        <w:b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>Città di Nocera Inferiore</w:t>
    </w:r>
  </w:p>
  <w:p>
    <w:pPr>
      <w:pStyle w:val="Intestazione"/>
      <w:jc w:val="center"/>
      <w:rPr>
        <w:rFonts w:ascii="Garamond" w:hAnsi="Garamond"/>
        <w:b/>
        <w:b/>
      </w:rPr>
    </w:pPr>
    <w:r>
      <w:rPr>
        <w:rFonts w:ascii="Garamond" w:hAnsi="Garamond"/>
        <w:b/>
      </w:rPr>
      <w:t>Organismo Indipendente di Valutazione</w:t>
    </w:r>
  </w:p>
  <w:p>
    <w:pPr>
      <w:pStyle w:val="Intestazione"/>
      <w:jc w:val="left"/>
      <w:rPr>
        <w:rFonts w:ascii="Garamond" w:hAnsi="Garamond"/>
        <w:b/>
        <w:b/>
      </w:rPr>
    </w:pPr>
    <w:r>
      <w:rPr>
        <w:rFonts w:ascii="Garamond" w:hAnsi="Garamond"/>
        <w:b/>
      </w:rPr>
    </w:r>
  </w:p>
  <w:p>
    <w:pPr>
      <w:pStyle w:val="Intestazione"/>
      <w:jc w:val="left"/>
      <w:rPr>
        <w:rFonts w:ascii="Garamond" w:hAnsi="Garamond" w:cs="Times New Roman"/>
        <w:b/>
        <w:b/>
      </w:rPr>
    </w:pPr>
    <w:r>
      <w:rPr>
        <w:rFonts w:ascii="Garamond" w:hAnsi="Garamond"/>
        <w:b/>
      </w:rPr>
      <w:t xml:space="preserve">Allegato 3 alla </w:t>
    </w:r>
    <w:r>
      <w:rPr>
        <w:rFonts w:cs="Times New Roman" w:ascii="Garamond" w:hAnsi="Garamond"/>
        <w:b/>
      </w:rPr>
      <w:t>delibera ANAC n. 213/2020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keepNext w:val="true"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LibreOffice/6.1.4.2$Windows_X86_64 LibreOffice_project/9d0f32d1f0b509096fd65e0d4bec26ddd1938fd3</Application>
  <Pages>2</Pages>
  <Words>231</Words>
  <Characters>1494</Characters>
  <CharactersWithSpaces>1712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2020-07-20T14:09:00Z</dcterms:created>
  <dc:creator>i.siciliani</dc:creator>
  <dc:description/>
  <dc:language>it-IT</dc:language>
  <cp:lastModifiedBy/>
  <cp:lastPrinted>2020-07-29T15:04:14Z</cp:lastPrinted>
  <dcterms:modified xsi:type="dcterms:W3CDTF">2020-07-29T15:06:58Z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